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CD" w:rsidRPr="00357D4D" w:rsidRDefault="005476CD" w:rsidP="00927FF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57D4D">
        <w:rPr>
          <w:rFonts w:ascii="Arial" w:hAnsi="Arial" w:cs="Arial"/>
          <w:sz w:val="22"/>
          <w:szCs w:val="22"/>
        </w:rPr>
        <w:t xml:space="preserve">The </w:t>
      </w:r>
      <w:r w:rsidR="00927FFE" w:rsidRPr="00927FFE">
        <w:rPr>
          <w:rFonts w:ascii="Arial" w:hAnsi="Arial" w:cs="Arial"/>
          <w:sz w:val="22"/>
          <w:szCs w:val="22"/>
        </w:rPr>
        <w:t>Building and Other Legislation Amendment Bill 2013</w:t>
      </w:r>
      <w:r w:rsidR="00927FFE">
        <w:rPr>
          <w:rFonts w:ascii="Arial" w:hAnsi="Arial" w:cs="Arial"/>
          <w:sz w:val="22"/>
          <w:szCs w:val="22"/>
        </w:rPr>
        <w:t xml:space="preserve"> </w:t>
      </w:r>
      <w:r w:rsidRPr="00357D4D">
        <w:rPr>
          <w:rFonts w:ascii="Arial" w:hAnsi="Arial" w:cs="Arial"/>
          <w:sz w:val="22"/>
          <w:szCs w:val="22"/>
        </w:rPr>
        <w:t xml:space="preserve">amends the </w:t>
      </w:r>
      <w:r w:rsidRPr="00357D4D">
        <w:rPr>
          <w:rFonts w:ascii="Arial" w:hAnsi="Arial" w:cs="Arial"/>
          <w:i/>
          <w:sz w:val="22"/>
          <w:szCs w:val="22"/>
        </w:rPr>
        <w:t xml:space="preserve">Building Act 1975 </w:t>
      </w:r>
      <w:r w:rsidRPr="00357D4D">
        <w:rPr>
          <w:rFonts w:ascii="Arial" w:hAnsi="Arial" w:cs="Arial"/>
          <w:sz w:val="22"/>
          <w:szCs w:val="22"/>
        </w:rPr>
        <w:t>(B</w:t>
      </w:r>
      <w:r w:rsidR="00927FFE">
        <w:rPr>
          <w:rFonts w:ascii="Arial" w:hAnsi="Arial" w:cs="Arial"/>
          <w:sz w:val="22"/>
          <w:szCs w:val="22"/>
        </w:rPr>
        <w:t xml:space="preserve">uilding </w:t>
      </w:r>
      <w:r w:rsidRPr="00357D4D">
        <w:rPr>
          <w:rFonts w:ascii="Arial" w:hAnsi="Arial" w:cs="Arial"/>
          <w:sz w:val="22"/>
          <w:szCs w:val="22"/>
        </w:rPr>
        <w:t>A</w:t>
      </w:r>
      <w:r w:rsidR="00927FFE">
        <w:rPr>
          <w:rFonts w:ascii="Arial" w:hAnsi="Arial" w:cs="Arial"/>
          <w:sz w:val="22"/>
          <w:szCs w:val="22"/>
        </w:rPr>
        <w:t>ct</w:t>
      </w:r>
      <w:r w:rsidRPr="00357D4D">
        <w:rPr>
          <w:rFonts w:ascii="Arial" w:hAnsi="Arial" w:cs="Arial"/>
          <w:sz w:val="22"/>
          <w:szCs w:val="22"/>
        </w:rPr>
        <w:t>)</w:t>
      </w:r>
      <w:r w:rsidR="00CD2723" w:rsidRPr="00357D4D">
        <w:rPr>
          <w:rFonts w:ascii="Arial" w:hAnsi="Arial" w:cs="Arial"/>
          <w:sz w:val="22"/>
          <w:szCs w:val="22"/>
        </w:rPr>
        <w:t>,</w:t>
      </w:r>
      <w:r w:rsidRPr="00357D4D">
        <w:rPr>
          <w:rFonts w:ascii="Arial" w:hAnsi="Arial" w:cs="Arial"/>
          <w:sz w:val="22"/>
          <w:szCs w:val="22"/>
        </w:rPr>
        <w:t xml:space="preserve"> </w:t>
      </w:r>
      <w:r w:rsidRPr="00357D4D">
        <w:rPr>
          <w:rFonts w:ascii="Arial" w:hAnsi="Arial" w:cs="Arial"/>
          <w:i/>
          <w:sz w:val="22"/>
          <w:szCs w:val="22"/>
        </w:rPr>
        <w:t xml:space="preserve">Water Supply (Safety and Reliability) Act 2008 </w:t>
      </w:r>
      <w:r w:rsidRPr="00357D4D">
        <w:rPr>
          <w:rFonts w:ascii="Arial" w:hAnsi="Arial" w:cs="Arial"/>
          <w:sz w:val="22"/>
          <w:szCs w:val="22"/>
        </w:rPr>
        <w:t>(</w:t>
      </w:r>
      <w:r w:rsidR="00927FFE">
        <w:rPr>
          <w:rFonts w:ascii="Arial" w:hAnsi="Arial" w:cs="Arial"/>
          <w:sz w:val="22"/>
          <w:szCs w:val="22"/>
        </w:rPr>
        <w:t>Water Supply Safety Act</w:t>
      </w:r>
      <w:r w:rsidRPr="00357D4D">
        <w:rPr>
          <w:rFonts w:ascii="Arial" w:hAnsi="Arial" w:cs="Arial"/>
          <w:sz w:val="22"/>
          <w:szCs w:val="22"/>
        </w:rPr>
        <w:t>)</w:t>
      </w:r>
      <w:r w:rsidR="00CD2723" w:rsidRPr="00357D4D">
        <w:rPr>
          <w:rFonts w:ascii="Arial" w:hAnsi="Arial" w:cs="Arial"/>
          <w:sz w:val="22"/>
          <w:szCs w:val="22"/>
        </w:rPr>
        <w:t xml:space="preserve"> and</w:t>
      </w:r>
      <w:r w:rsidRPr="00357D4D">
        <w:rPr>
          <w:rFonts w:ascii="Arial" w:hAnsi="Arial" w:cs="Arial"/>
          <w:sz w:val="22"/>
          <w:szCs w:val="22"/>
        </w:rPr>
        <w:t xml:space="preserve"> </w:t>
      </w:r>
      <w:r w:rsidR="00CD2723" w:rsidRPr="00357D4D">
        <w:rPr>
          <w:rFonts w:ascii="Arial" w:hAnsi="Arial" w:cs="Arial"/>
          <w:i/>
          <w:sz w:val="22"/>
          <w:szCs w:val="22"/>
        </w:rPr>
        <w:t xml:space="preserve">South-East Queensland Water (Distribution and Retail Restructuring) Act 2009 </w:t>
      </w:r>
      <w:r w:rsidR="00CD2723" w:rsidRPr="00357D4D">
        <w:rPr>
          <w:rFonts w:ascii="Arial" w:hAnsi="Arial" w:cs="Arial"/>
          <w:sz w:val="22"/>
          <w:szCs w:val="22"/>
        </w:rPr>
        <w:t xml:space="preserve">(SEQ </w:t>
      </w:r>
      <w:r w:rsidR="00927FFE">
        <w:rPr>
          <w:rFonts w:ascii="Arial" w:hAnsi="Arial" w:cs="Arial"/>
          <w:sz w:val="22"/>
          <w:szCs w:val="22"/>
        </w:rPr>
        <w:t>Water Restructuring</w:t>
      </w:r>
      <w:r w:rsidR="00CD2723" w:rsidRPr="00357D4D">
        <w:rPr>
          <w:rFonts w:ascii="Arial" w:hAnsi="Arial" w:cs="Arial"/>
          <w:sz w:val="22"/>
          <w:szCs w:val="22"/>
        </w:rPr>
        <w:t xml:space="preserve"> Act)</w:t>
      </w:r>
      <w:r w:rsidR="00CD2723" w:rsidRPr="00357D4D">
        <w:rPr>
          <w:rFonts w:ascii="Arial" w:hAnsi="Arial" w:cs="Arial"/>
          <w:i/>
          <w:sz w:val="22"/>
          <w:szCs w:val="22"/>
        </w:rPr>
        <w:t xml:space="preserve"> </w:t>
      </w:r>
      <w:r w:rsidRPr="00357D4D">
        <w:rPr>
          <w:rFonts w:ascii="Arial" w:hAnsi="Arial" w:cs="Arial"/>
          <w:sz w:val="22"/>
          <w:szCs w:val="22"/>
        </w:rPr>
        <w:t xml:space="preserve">to reduce red tape </w:t>
      </w:r>
      <w:r w:rsidR="00181D15" w:rsidRPr="00357D4D">
        <w:rPr>
          <w:rFonts w:ascii="Arial" w:hAnsi="Arial" w:cs="Arial"/>
          <w:sz w:val="22"/>
          <w:szCs w:val="22"/>
        </w:rPr>
        <w:t xml:space="preserve">and save time and money in </w:t>
      </w:r>
      <w:r w:rsidRPr="00357D4D">
        <w:rPr>
          <w:rFonts w:ascii="Arial" w:hAnsi="Arial" w:cs="Arial"/>
          <w:sz w:val="22"/>
          <w:szCs w:val="22"/>
        </w:rPr>
        <w:t>the assessment of building work over or near a sewer, water main and stormwater drain (relevant infrastructure).</w:t>
      </w:r>
    </w:p>
    <w:p w:rsidR="00C770E8" w:rsidRPr="00357D4D" w:rsidRDefault="00D94570" w:rsidP="00927FF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 w:hanging="357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>The Bill also makes other minor amendments to building</w:t>
      </w:r>
      <w:r w:rsidR="00CD2723" w:rsidRPr="00357D4D">
        <w:rPr>
          <w:rFonts w:ascii="Arial" w:hAnsi="Arial" w:cs="Arial"/>
          <w:sz w:val="22"/>
          <w:szCs w:val="22"/>
        </w:rPr>
        <w:t xml:space="preserve"> and</w:t>
      </w:r>
      <w:r w:rsidRPr="00357D4D">
        <w:rPr>
          <w:rFonts w:ascii="Arial" w:hAnsi="Arial" w:cs="Arial"/>
          <w:sz w:val="22"/>
          <w:szCs w:val="22"/>
        </w:rPr>
        <w:t xml:space="preserve"> plumbing legislation.</w:t>
      </w:r>
    </w:p>
    <w:p w:rsidR="00D94570" w:rsidRPr="00357D4D" w:rsidRDefault="00CD2723" w:rsidP="00927FFE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>T</w:t>
      </w:r>
      <w:r w:rsidR="00D94570" w:rsidRPr="00357D4D">
        <w:rPr>
          <w:rFonts w:ascii="Arial" w:hAnsi="Arial" w:cs="Arial"/>
          <w:sz w:val="22"/>
          <w:szCs w:val="22"/>
        </w:rPr>
        <w:t>he amendments in the Bill include:</w:t>
      </w:r>
    </w:p>
    <w:p w:rsidR="00181D15" w:rsidRPr="00357D4D" w:rsidRDefault="00181D15" w:rsidP="00927FFE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 xml:space="preserve">removing the requirement for consent </w:t>
      </w:r>
      <w:r w:rsidR="009E61E5" w:rsidRPr="00357D4D">
        <w:rPr>
          <w:rFonts w:ascii="Arial" w:hAnsi="Arial" w:cs="Arial"/>
          <w:sz w:val="22"/>
          <w:szCs w:val="22"/>
        </w:rPr>
        <w:t xml:space="preserve">from a service provider </w:t>
      </w:r>
      <w:r w:rsidRPr="00357D4D">
        <w:rPr>
          <w:rFonts w:ascii="Arial" w:hAnsi="Arial" w:cs="Arial"/>
          <w:sz w:val="22"/>
          <w:szCs w:val="22"/>
        </w:rPr>
        <w:t>prior to a private building certifier being able to issue a building development approval</w:t>
      </w:r>
      <w:r w:rsidR="00CD2723" w:rsidRPr="00357D4D">
        <w:rPr>
          <w:rFonts w:ascii="Arial" w:hAnsi="Arial" w:cs="Arial"/>
          <w:sz w:val="22"/>
          <w:szCs w:val="22"/>
        </w:rPr>
        <w:t xml:space="preserve"> under section 83(1)(f) of the B</w:t>
      </w:r>
      <w:r w:rsidR="00927FFE">
        <w:rPr>
          <w:rFonts w:ascii="Arial" w:hAnsi="Arial" w:cs="Arial"/>
          <w:sz w:val="22"/>
          <w:szCs w:val="22"/>
        </w:rPr>
        <w:t>uilding Act</w:t>
      </w:r>
      <w:r w:rsidRPr="00357D4D">
        <w:rPr>
          <w:rFonts w:ascii="Arial" w:hAnsi="Arial" w:cs="Arial"/>
          <w:sz w:val="22"/>
          <w:szCs w:val="22"/>
        </w:rPr>
        <w:t>.</w:t>
      </w:r>
    </w:p>
    <w:p w:rsidR="00181D15" w:rsidRPr="00357D4D" w:rsidRDefault="00181D15" w:rsidP="00927FFE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 xml:space="preserve">amending section 192 of the </w:t>
      </w:r>
      <w:r w:rsidR="00927FFE">
        <w:rPr>
          <w:rFonts w:ascii="Arial" w:hAnsi="Arial" w:cs="Arial"/>
          <w:sz w:val="22"/>
          <w:szCs w:val="22"/>
        </w:rPr>
        <w:t xml:space="preserve">Water Supply Safety </w:t>
      </w:r>
      <w:r w:rsidRPr="00357D4D">
        <w:rPr>
          <w:rFonts w:ascii="Arial" w:hAnsi="Arial" w:cs="Arial"/>
          <w:sz w:val="22"/>
          <w:szCs w:val="22"/>
        </w:rPr>
        <w:t xml:space="preserve">Act </w:t>
      </w:r>
      <w:r w:rsidR="009E61E5" w:rsidRPr="00357D4D">
        <w:rPr>
          <w:rFonts w:ascii="Arial" w:hAnsi="Arial" w:cs="Arial"/>
          <w:sz w:val="22"/>
          <w:szCs w:val="22"/>
        </w:rPr>
        <w:t>to allow</w:t>
      </w:r>
      <w:r w:rsidRPr="00357D4D">
        <w:rPr>
          <w:rFonts w:ascii="Arial" w:hAnsi="Arial" w:cs="Arial"/>
          <w:sz w:val="22"/>
          <w:szCs w:val="22"/>
        </w:rPr>
        <w:t xml:space="preserve"> building work over or near relevant infrastructure to be </w:t>
      </w:r>
      <w:r w:rsidR="00CD2723" w:rsidRPr="00357D4D">
        <w:rPr>
          <w:rFonts w:ascii="Arial" w:hAnsi="Arial" w:cs="Arial"/>
          <w:sz w:val="22"/>
          <w:szCs w:val="22"/>
        </w:rPr>
        <w:t xml:space="preserve">assessed under the </w:t>
      </w:r>
      <w:r w:rsidR="00927FFE">
        <w:rPr>
          <w:rFonts w:ascii="Arial" w:hAnsi="Arial" w:cs="Arial"/>
          <w:sz w:val="22"/>
          <w:szCs w:val="22"/>
        </w:rPr>
        <w:t>Building Act</w:t>
      </w:r>
      <w:r w:rsidR="00CD2723" w:rsidRPr="00357D4D">
        <w:rPr>
          <w:rFonts w:ascii="Arial" w:hAnsi="Arial" w:cs="Arial"/>
          <w:sz w:val="22"/>
          <w:szCs w:val="22"/>
        </w:rPr>
        <w:t xml:space="preserve"> as part of the building assessment provisions </w:t>
      </w:r>
      <w:r w:rsidRPr="00357D4D">
        <w:rPr>
          <w:rFonts w:ascii="Arial" w:hAnsi="Arial" w:cs="Arial"/>
          <w:sz w:val="22"/>
          <w:szCs w:val="22"/>
        </w:rPr>
        <w:t>without written consent from the service provider.</w:t>
      </w:r>
    </w:p>
    <w:p w:rsidR="00181D15" w:rsidRPr="00357D4D" w:rsidRDefault="00181D15" w:rsidP="00927FFE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 xml:space="preserve">amending the </w:t>
      </w:r>
      <w:r w:rsidR="00CD2723" w:rsidRPr="00357D4D">
        <w:rPr>
          <w:rFonts w:ascii="Arial" w:hAnsi="Arial" w:cs="Arial"/>
          <w:sz w:val="22"/>
          <w:szCs w:val="22"/>
        </w:rPr>
        <w:t xml:space="preserve">SEQ </w:t>
      </w:r>
      <w:r w:rsidR="00927FFE">
        <w:rPr>
          <w:rFonts w:ascii="Arial" w:hAnsi="Arial" w:cs="Arial"/>
          <w:sz w:val="22"/>
          <w:szCs w:val="22"/>
        </w:rPr>
        <w:t>Water Restructuring</w:t>
      </w:r>
      <w:r w:rsidR="00CD2723" w:rsidRPr="00357D4D">
        <w:rPr>
          <w:rFonts w:ascii="Arial" w:hAnsi="Arial" w:cs="Arial"/>
          <w:sz w:val="22"/>
          <w:szCs w:val="22"/>
        </w:rPr>
        <w:t xml:space="preserve"> Act </w:t>
      </w:r>
      <w:r w:rsidRPr="00357D4D">
        <w:rPr>
          <w:rFonts w:ascii="Arial" w:hAnsi="Arial" w:cs="Arial"/>
          <w:sz w:val="22"/>
          <w:szCs w:val="22"/>
        </w:rPr>
        <w:t xml:space="preserve">to allow </w:t>
      </w:r>
      <w:r w:rsidR="009E61E5" w:rsidRPr="00357D4D">
        <w:rPr>
          <w:rFonts w:ascii="Arial" w:hAnsi="Arial" w:cs="Arial"/>
          <w:sz w:val="22"/>
          <w:szCs w:val="22"/>
        </w:rPr>
        <w:t xml:space="preserve">a distributor-retailer to delegate its concurrence agency power regarding applications for carrying out building work on lots with relevant infrastructure to the </w:t>
      </w:r>
      <w:r w:rsidRPr="00357D4D">
        <w:rPr>
          <w:rFonts w:ascii="Arial" w:hAnsi="Arial" w:cs="Arial"/>
          <w:sz w:val="22"/>
          <w:szCs w:val="22"/>
        </w:rPr>
        <w:t>local government.</w:t>
      </w:r>
    </w:p>
    <w:p w:rsidR="00181D15" w:rsidRPr="00357D4D" w:rsidRDefault="0084440E" w:rsidP="00927FFE">
      <w:pPr>
        <w:tabs>
          <w:tab w:val="left" w:pos="357"/>
        </w:tabs>
        <w:autoSpaceDE w:val="0"/>
        <w:autoSpaceDN w:val="0"/>
        <w:adjustRightInd w:val="0"/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>4.</w:t>
      </w:r>
      <w:r w:rsidRPr="00357D4D">
        <w:rPr>
          <w:rFonts w:ascii="Arial" w:hAnsi="Arial" w:cs="Arial"/>
          <w:sz w:val="22"/>
          <w:szCs w:val="22"/>
        </w:rPr>
        <w:tab/>
      </w:r>
      <w:r w:rsidR="009E61E5" w:rsidRPr="00357D4D">
        <w:rPr>
          <w:rFonts w:ascii="Arial" w:hAnsi="Arial" w:cs="Arial"/>
          <w:sz w:val="22"/>
          <w:szCs w:val="22"/>
        </w:rPr>
        <w:t>Through associated regulat</w:t>
      </w:r>
      <w:r w:rsidR="00CD2723" w:rsidRPr="00357D4D">
        <w:rPr>
          <w:rFonts w:ascii="Arial" w:hAnsi="Arial" w:cs="Arial"/>
          <w:sz w:val="22"/>
          <w:szCs w:val="22"/>
        </w:rPr>
        <w:t>ory</w:t>
      </w:r>
      <w:r w:rsidR="009E61E5" w:rsidRPr="00357D4D">
        <w:rPr>
          <w:rFonts w:ascii="Arial" w:hAnsi="Arial" w:cs="Arial"/>
          <w:sz w:val="22"/>
          <w:szCs w:val="22"/>
        </w:rPr>
        <w:t xml:space="preserve"> amendments, the legislative scheme will also:</w:t>
      </w:r>
    </w:p>
    <w:p w:rsidR="00441ED9" w:rsidRPr="00357D4D" w:rsidRDefault="00CD2723" w:rsidP="00927FFE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 xml:space="preserve">facilitate </w:t>
      </w:r>
      <w:r w:rsidR="002064FF" w:rsidRPr="00357D4D">
        <w:rPr>
          <w:rFonts w:ascii="Arial" w:hAnsi="Arial" w:cs="Arial"/>
          <w:sz w:val="22"/>
          <w:szCs w:val="22"/>
        </w:rPr>
        <w:t xml:space="preserve">adoption of </w:t>
      </w:r>
      <w:r w:rsidR="00441ED9" w:rsidRPr="00357D4D">
        <w:rPr>
          <w:rFonts w:ascii="Arial" w:hAnsi="Arial" w:cs="Arial"/>
          <w:sz w:val="22"/>
          <w:szCs w:val="22"/>
        </w:rPr>
        <w:t xml:space="preserve">a new mandatory part of the Queensland Development Code </w:t>
      </w:r>
      <w:r w:rsidR="00F8413E" w:rsidRPr="00357D4D">
        <w:rPr>
          <w:rFonts w:ascii="Arial" w:hAnsi="Arial" w:cs="Arial"/>
          <w:sz w:val="22"/>
          <w:szCs w:val="22"/>
        </w:rPr>
        <w:t xml:space="preserve">which will </w:t>
      </w:r>
      <w:r w:rsidR="00441ED9" w:rsidRPr="00357D4D">
        <w:rPr>
          <w:rFonts w:ascii="Arial" w:hAnsi="Arial" w:cs="Arial"/>
          <w:sz w:val="22"/>
          <w:szCs w:val="22"/>
        </w:rPr>
        <w:t xml:space="preserve">provide </w:t>
      </w:r>
      <w:r w:rsidR="00F8413E" w:rsidRPr="00357D4D">
        <w:rPr>
          <w:rFonts w:ascii="Arial" w:hAnsi="Arial" w:cs="Arial"/>
          <w:sz w:val="22"/>
          <w:szCs w:val="22"/>
        </w:rPr>
        <w:t>assessment criteria</w:t>
      </w:r>
      <w:r w:rsidR="00441ED9" w:rsidRPr="00357D4D">
        <w:rPr>
          <w:rFonts w:ascii="Arial" w:hAnsi="Arial" w:cs="Arial"/>
          <w:sz w:val="22"/>
          <w:szCs w:val="22"/>
        </w:rPr>
        <w:t xml:space="preserve"> for all building work over or near </w:t>
      </w:r>
      <w:r w:rsidR="004773B1" w:rsidRPr="00357D4D">
        <w:rPr>
          <w:rFonts w:ascii="Arial" w:hAnsi="Arial" w:cs="Arial"/>
          <w:sz w:val="22"/>
          <w:szCs w:val="22"/>
        </w:rPr>
        <w:t>relevant infrastructure</w:t>
      </w:r>
      <w:r w:rsidR="00441ED9" w:rsidRPr="00357D4D">
        <w:rPr>
          <w:rFonts w:ascii="Arial" w:hAnsi="Arial" w:cs="Arial"/>
          <w:sz w:val="22"/>
          <w:szCs w:val="22"/>
        </w:rPr>
        <w:t xml:space="preserve">.  This would allow this type of building work to be assessed </w:t>
      </w:r>
      <w:r w:rsidR="009E61E5" w:rsidRPr="00357D4D">
        <w:rPr>
          <w:rFonts w:ascii="Arial" w:hAnsi="Arial" w:cs="Arial"/>
          <w:sz w:val="22"/>
          <w:szCs w:val="22"/>
        </w:rPr>
        <w:t>against a consistent, state-wide standard</w:t>
      </w:r>
      <w:r w:rsidR="00441ED9" w:rsidRPr="00357D4D">
        <w:rPr>
          <w:rFonts w:ascii="Arial" w:hAnsi="Arial" w:cs="Arial"/>
          <w:sz w:val="22"/>
          <w:szCs w:val="22"/>
        </w:rPr>
        <w:t>, rather than under individual local government planning schemes or service provider technical documents.</w:t>
      </w:r>
    </w:p>
    <w:p w:rsidR="00441ED9" w:rsidRPr="00357D4D" w:rsidRDefault="001A74C8" w:rsidP="00927FFE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>p</w:t>
      </w:r>
      <w:r w:rsidR="00441ED9" w:rsidRPr="00357D4D">
        <w:rPr>
          <w:rFonts w:ascii="Arial" w:hAnsi="Arial" w:cs="Arial"/>
          <w:sz w:val="22"/>
          <w:szCs w:val="22"/>
        </w:rPr>
        <w:t>rescrib</w:t>
      </w:r>
      <w:r w:rsidR="00CD2723" w:rsidRPr="00357D4D">
        <w:rPr>
          <w:rFonts w:ascii="Arial" w:hAnsi="Arial" w:cs="Arial"/>
          <w:sz w:val="22"/>
          <w:szCs w:val="22"/>
        </w:rPr>
        <w:t>e</w:t>
      </w:r>
      <w:r w:rsidR="00441ED9" w:rsidRPr="00357D4D">
        <w:rPr>
          <w:rFonts w:ascii="Arial" w:hAnsi="Arial" w:cs="Arial"/>
          <w:sz w:val="22"/>
          <w:szCs w:val="22"/>
        </w:rPr>
        <w:t xml:space="preserve"> the r</w:t>
      </w:r>
      <w:r w:rsidR="00927FFE">
        <w:rPr>
          <w:rFonts w:ascii="Arial" w:hAnsi="Arial" w:cs="Arial"/>
          <w:sz w:val="22"/>
          <w:szCs w:val="22"/>
        </w:rPr>
        <w:t>elevant local government, South E</w:t>
      </w:r>
      <w:r w:rsidR="00441ED9" w:rsidRPr="00357D4D">
        <w:rPr>
          <w:rFonts w:ascii="Arial" w:hAnsi="Arial" w:cs="Arial"/>
          <w:sz w:val="22"/>
          <w:szCs w:val="22"/>
        </w:rPr>
        <w:t>ast Queensland distributor-retailer or other service provider as a concurrence agency to consider building development applications in certain circumstances</w:t>
      </w:r>
      <w:r w:rsidR="00CD2723" w:rsidRPr="00357D4D">
        <w:rPr>
          <w:rFonts w:ascii="Arial" w:hAnsi="Arial" w:cs="Arial"/>
          <w:sz w:val="22"/>
          <w:szCs w:val="22"/>
        </w:rPr>
        <w:t>.</w:t>
      </w:r>
    </w:p>
    <w:p w:rsidR="00441ED9" w:rsidRPr="00357D4D" w:rsidRDefault="00CD2723" w:rsidP="00927FFE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>through</w:t>
      </w:r>
      <w:r w:rsidR="00441ED9" w:rsidRPr="00357D4D">
        <w:rPr>
          <w:rFonts w:ascii="Arial" w:hAnsi="Arial" w:cs="Arial"/>
          <w:sz w:val="22"/>
          <w:szCs w:val="22"/>
        </w:rPr>
        <w:t xml:space="preserve"> the Building and Developmen</w:t>
      </w:r>
      <w:r w:rsidR="00927FFE">
        <w:rPr>
          <w:rFonts w:ascii="Arial" w:hAnsi="Arial" w:cs="Arial"/>
          <w:sz w:val="22"/>
          <w:szCs w:val="22"/>
        </w:rPr>
        <w:t>t Dispute Resolution Committees,</w:t>
      </w:r>
      <w:r w:rsidRPr="00357D4D">
        <w:rPr>
          <w:rFonts w:ascii="Arial" w:hAnsi="Arial" w:cs="Arial"/>
          <w:sz w:val="22"/>
          <w:szCs w:val="22"/>
        </w:rPr>
        <w:t xml:space="preserve"> provide an avenue for</w:t>
      </w:r>
      <w:r w:rsidR="00441ED9" w:rsidRPr="00357D4D">
        <w:rPr>
          <w:rFonts w:ascii="Arial" w:hAnsi="Arial" w:cs="Arial"/>
          <w:sz w:val="22"/>
          <w:szCs w:val="22"/>
        </w:rPr>
        <w:t xml:space="preserve"> appeals on</w:t>
      </w:r>
      <w:r w:rsidRPr="00357D4D">
        <w:rPr>
          <w:rFonts w:ascii="Arial" w:hAnsi="Arial" w:cs="Arial"/>
          <w:sz w:val="22"/>
          <w:szCs w:val="22"/>
        </w:rPr>
        <w:t xml:space="preserve"> assessment manager decisions and concurrence agency advice</w:t>
      </w:r>
      <w:r w:rsidR="00441ED9" w:rsidRPr="00357D4D">
        <w:rPr>
          <w:rFonts w:ascii="Arial" w:hAnsi="Arial" w:cs="Arial"/>
          <w:sz w:val="22"/>
          <w:szCs w:val="22"/>
        </w:rPr>
        <w:t xml:space="preserve"> </w:t>
      </w:r>
      <w:r w:rsidRPr="00357D4D">
        <w:rPr>
          <w:rFonts w:ascii="Arial" w:hAnsi="Arial" w:cs="Arial"/>
          <w:sz w:val="22"/>
          <w:szCs w:val="22"/>
        </w:rPr>
        <w:t xml:space="preserve">relating to </w:t>
      </w:r>
      <w:r w:rsidR="00441ED9" w:rsidRPr="00357D4D">
        <w:rPr>
          <w:rFonts w:ascii="Arial" w:hAnsi="Arial" w:cs="Arial"/>
          <w:sz w:val="22"/>
          <w:szCs w:val="22"/>
        </w:rPr>
        <w:t xml:space="preserve">building over or near </w:t>
      </w:r>
      <w:r w:rsidR="004773B1" w:rsidRPr="00357D4D">
        <w:rPr>
          <w:rFonts w:ascii="Arial" w:hAnsi="Arial" w:cs="Arial"/>
          <w:sz w:val="22"/>
          <w:szCs w:val="22"/>
        </w:rPr>
        <w:t>relevant infrastructure</w:t>
      </w:r>
      <w:r w:rsidR="00441ED9" w:rsidRPr="00357D4D">
        <w:rPr>
          <w:rFonts w:ascii="Arial" w:hAnsi="Arial" w:cs="Arial"/>
          <w:sz w:val="22"/>
          <w:szCs w:val="22"/>
        </w:rPr>
        <w:t>, with a limited right of further appeal to the Planning and Environment Court.</w:t>
      </w:r>
    </w:p>
    <w:p w:rsidR="00C770E8" w:rsidRPr="00357D4D" w:rsidRDefault="0084440E" w:rsidP="00927FFE">
      <w:pPr>
        <w:tabs>
          <w:tab w:val="left" w:pos="357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57D4D">
        <w:rPr>
          <w:rFonts w:ascii="Arial" w:hAnsi="Arial" w:cs="Arial"/>
          <w:sz w:val="22"/>
          <w:szCs w:val="22"/>
        </w:rPr>
        <w:t>5</w:t>
      </w:r>
      <w:r w:rsidR="004773B1" w:rsidRPr="00357D4D">
        <w:rPr>
          <w:rFonts w:ascii="Arial" w:hAnsi="Arial" w:cs="Arial"/>
          <w:sz w:val="22"/>
          <w:szCs w:val="22"/>
        </w:rPr>
        <w:t xml:space="preserve">. </w:t>
      </w:r>
      <w:r w:rsidRPr="00357D4D">
        <w:rPr>
          <w:rFonts w:ascii="Arial" w:hAnsi="Arial" w:cs="Arial"/>
          <w:sz w:val="22"/>
          <w:szCs w:val="22"/>
        </w:rPr>
        <w:tab/>
      </w:r>
      <w:r w:rsidR="00C770E8" w:rsidRPr="00357D4D">
        <w:rPr>
          <w:rFonts w:ascii="Arial" w:hAnsi="Arial" w:cs="Arial"/>
          <w:sz w:val="22"/>
          <w:szCs w:val="22"/>
          <w:u w:val="single"/>
        </w:rPr>
        <w:t>Cabinet approved</w:t>
      </w:r>
      <w:r w:rsidR="00C770E8" w:rsidRPr="00357D4D">
        <w:rPr>
          <w:rFonts w:ascii="Arial" w:hAnsi="Arial" w:cs="Arial"/>
          <w:sz w:val="22"/>
          <w:szCs w:val="22"/>
        </w:rPr>
        <w:t xml:space="preserve"> the introduction of the </w:t>
      </w:r>
      <w:r w:rsidR="00C770E8" w:rsidRPr="00927FFE">
        <w:rPr>
          <w:rFonts w:ascii="Arial" w:hAnsi="Arial" w:cs="Arial"/>
          <w:sz w:val="22"/>
          <w:szCs w:val="22"/>
        </w:rPr>
        <w:t xml:space="preserve">Building and Other Legislation Amendment Bill 2013 </w:t>
      </w:r>
      <w:r w:rsidR="00C770E8" w:rsidRPr="00357D4D">
        <w:rPr>
          <w:rFonts w:ascii="Arial" w:hAnsi="Arial" w:cs="Arial"/>
          <w:sz w:val="22"/>
          <w:szCs w:val="22"/>
        </w:rPr>
        <w:t>into the Legislative Assembly.</w:t>
      </w:r>
    </w:p>
    <w:p w:rsidR="00C770E8" w:rsidRPr="00357D4D" w:rsidRDefault="0084440E" w:rsidP="00927FFE">
      <w:pPr>
        <w:tabs>
          <w:tab w:val="left" w:pos="357"/>
        </w:tabs>
        <w:spacing w:before="360"/>
        <w:ind w:left="357" w:hanging="357"/>
        <w:rPr>
          <w:rFonts w:ascii="Arial" w:hAnsi="Arial" w:cs="Arial"/>
          <w:sz w:val="22"/>
          <w:szCs w:val="22"/>
          <w:u w:val="single"/>
        </w:rPr>
      </w:pPr>
      <w:r w:rsidRPr="00357D4D">
        <w:rPr>
          <w:rFonts w:ascii="Arial" w:hAnsi="Arial" w:cs="Arial"/>
          <w:sz w:val="22"/>
          <w:szCs w:val="22"/>
        </w:rPr>
        <w:t>6</w:t>
      </w:r>
      <w:r w:rsidR="004773B1" w:rsidRPr="00357D4D">
        <w:rPr>
          <w:rFonts w:ascii="Arial" w:hAnsi="Arial" w:cs="Arial"/>
          <w:sz w:val="22"/>
          <w:szCs w:val="22"/>
        </w:rPr>
        <w:t>.</w:t>
      </w:r>
      <w:r w:rsidRPr="00357D4D">
        <w:rPr>
          <w:rFonts w:ascii="Arial" w:hAnsi="Arial" w:cs="Arial"/>
          <w:sz w:val="22"/>
          <w:szCs w:val="22"/>
        </w:rPr>
        <w:tab/>
      </w:r>
      <w:r w:rsidR="00C770E8" w:rsidRPr="00357D4D">
        <w:rPr>
          <w:rFonts w:ascii="Arial" w:hAnsi="Arial" w:cs="Arial"/>
          <w:sz w:val="22"/>
          <w:szCs w:val="22"/>
          <w:u w:val="single"/>
        </w:rPr>
        <w:t>Attachments</w:t>
      </w:r>
    </w:p>
    <w:p w:rsidR="00C770E8" w:rsidRPr="00927FFE" w:rsidRDefault="0065106F" w:rsidP="00927FFE">
      <w:pPr>
        <w:numPr>
          <w:ilvl w:val="0"/>
          <w:numId w:val="8"/>
        </w:numPr>
        <w:spacing w:before="120"/>
        <w:ind w:left="709" w:hanging="352"/>
        <w:rPr>
          <w:rFonts w:ascii="Arial" w:hAnsi="Arial" w:cs="Arial"/>
          <w:sz w:val="22"/>
          <w:szCs w:val="22"/>
        </w:rPr>
      </w:pPr>
      <w:hyperlink r:id="rId7" w:history="1">
        <w:r w:rsidR="00C770E8" w:rsidRPr="00951887">
          <w:rPr>
            <w:rStyle w:val="Hyperlink"/>
            <w:rFonts w:ascii="Arial" w:hAnsi="Arial" w:cs="Arial"/>
            <w:sz w:val="22"/>
            <w:szCs w:val="22"/>
          </w:rPr>
          <w:t>Building and Other Legislation Amendment Bill 2013</w:t>
        </w:r>
      </w:hyperlink>
    </w:p>
    <w:p w:rsidR="00C770E8" w:rsidRPr="00927FFE" w:rsidRDefault="0065106F" w:rsidP="00927FFE">
      <w:pPr>
        <w:numPr>
          <w:ilvl w:val="0"/>
          <w:numId w:val="8"/>
        </w:numPr>
        <w:spacing w:before="120"/>
        <w:ind w:left="709" w:hanging="352"/>
        <w:rPr>
          <w:rFonts w:ascii="Arial" w:hAnsi="Arial" w:cs="Arial"/>
          <w:sz w:val="22"/>
          <w:szCs w:val="22"/>
        </w:rPr>
      </w:pPr>
      <w:hyperlink r:id="rId8" w:history="1">
        <w:r w:rsidR="00C770E8" w:rsidRPr="0095188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C770E8" w:rsidRPr="00927FFE" w:rsidSect="00927FFE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35" w:rsidRDefault="005A2635" w:rsidP="00357D4D">
      <w:r>
        <w:separator/>
      </w:r>
    </w:p>
  </w:endnote>
  <w:endnote w:type="continuationSeparator" w:id="0">
    <w:p w:rsidR="005A2635" w:rsidRDefault="005A2635" w:rsidP="0035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35" w:rsidRDefault="005A2635" w:rsidP="00357D4D">
      <w:r>
        <w:separator/>
      </w:r>
    </w:p>
  </w:footnote>
  <w:footnote w:type="continuationSeparator" w:id="0">
    <w:p w:rsidR="005A2635" w:rsidRDefault="005A2635" w:rsidP="00357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FE" w:rsidRPr="00937A4A" w:rsidRDefault="00927FFE" w:rsidP="00357D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  <w:lang w:eastAsia="en-US"/>
      </w:rPr>
    </w:pPr>
    <w:r w:rsidRPr="00937A4A">
      <w:rPr>
        <w:rFonts w:ascii="Arial" w:hAnsi="Arial" w:cs="Arial"/>
        <w:b/>
        <w:sz w:val="28"/>
        <w:szCs w:val="22"/>
        <w:lang w:eastAsia="en-US"/>
      </w:rPr>
      <w:t>Queensland Government</w:t>
    </w:r>
  </w:p>
  <w:p w:rsidR="00927FFE" w:rsidRPr="00937A4A" w:rsidRDefault="00927FFE" w:rsidP="00357D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  <w:lang w:eastAsia="en-US"/>
      </w:rPr>
    </w:pPr>
  </w:p>
  <w:p w:rsidR="00927FFE" w:rsidRPr="00937A4A" w:rsidRDefault="00927FFE" w:rsidP="00357D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  <w:lang w:eastAsia="en-US"/>
      </w:rPr>
    </w:pPr>
    <w:r w:rsidRPr="00937A4A">
      <w:rPr>
        <w:rFonts w:ascii="Arial" w:hAnsi="Arial" w:cs="Arial"/>
        <w:b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sz w:val="22"/>
        <w:szCs w:val="22"/>
        <w:lang w:eastAsia="en-US"/>
      </w:rPr>
      <w:t>April 2013</w:t>
    </w:r>
  </w:p>
  <w:p w:rsidR="00927FFE" w:rsidRDefault="00927FFE" w:rsidP="00357D4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Building and Other Legislation Amendment Bill 2013</w:t>
    </w:r>
  </w:p>
  <w:p w:rsidR="00927FFE" w:rsidRDefault="00927FFE" w:rsidP="00357D4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927FFE" w:rsidRDefault="00927FFE" w:rsidP="00357D4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6075"/>
    <w:multiLevelType w:val="hybridMultilevel"/>
    <w:tmpl w:val="CFA0A3A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B3358"/>
    <w:multiLevelType w:val="hybridMultilevel"/>
    <w:tmpl w:val="EC8EC4CE"/>
    <w:lvl w:ilvl="0" w:tplc="BCEC1F40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7EBF"/>
    <w:multiLevelType w:val="hybridMultilevel"/>
    <w:tmpl w:val="67360D4E"/>
    <w:lvl w:ilvl="0" w:tplc="BCEC1F40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A660F"/>
    <w:multiLevelType w:val="multilevel"/>
    <w:tmpl w:val="B148CD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15FC8"/>
    <w:multiLevelType w:val="hybridMultilevel"/>
    <w:tmpl w:val="B31266B2"/>
    <w:lvl w:ilvl="0" w:tplc="A6B62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8627D"/>
    <w:multiLevelType w:val="multilevel"/>
    <w:tmpl w:val="8DDA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5BF6"/>
    <w:multiLevelType w:val="hybridMultilevel"/>
    <w:tmpl w:val="8DDA84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87573"/>
    <w:multiLevelType w:val="hybridMultilevel"/>
    <w:tmpl w:val="B148CDAA"/>
    <w:lvl w:ilvl="0" w:tplc="AAFAD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CD"/>
    <w:rsid w:val="000A2390"/>
    <w:rsid w:val="000E4B5E"/>
    <w:rsid w:val="00181D15"/>
    <w:rsid w:val="0019482A"/>
    <w:rsid w:val="001A74C8"/>
    <w:rsid w:val="001C69A0"/>
    <w:rsid w:val="002064FF"/>
    <w:rsid w:val="0024605F"/>
    <w:rsid w:val="002731EF"/>
    <w:rsid w:val="00357D4D"/>
    <w:rsid w:val="00376B17"/>
    <w:rsid w:val="00404EFA"/>
    <w:rsid w:val="00441ED9"/>
    <w:rsid w:val="004430AF"/>
    <w:rsid w:val="004773B1"/>
    <w:rsid w:val="00504DC3"/>
    <w:rsid w:val="00535B45"/>
    <w:rsid w:val="005476CD"/>
    <w:rsid w:val="00575275"/>
    <w:rsid w:val="00585A14"/>
    <w:rsid w:val="005A2635"/>
    <w:rsid w:val="0065106F"/>
    <w:rsid w:val="0084440E"/>
    <w:rsid w:val="00927FFE"/>
    <w:rsid w:val="00951887"/>
    <w:rsid w:val="009E61E5"/>
    <w:rsid w:val="00AC6FD8"/>
    <w:rsid w:val="00B87CCB"/>
    <w:rsid w:val="00C3701C"/>
    <w:rsid w:val="00C72C45"/>
    <w:rsid w:val="00C770E8"/>
    <w:rsid w:val="00CD2723"/>
    <w:rsid w:val="00CF1CCC"/>
    <w:rsid w:val="00D94570"/>
    <w:rsid w:val="00E247CB"/>
    <w:rsid w:val="00EA2A94"/>
    <w:rsid w:val="00F04E18"/>
    <w:rsid w:val="00F8413E"/>
    <w:rsid w:val="00FA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57D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57D4D"/>
    <w:rPr>
      <w:sz w:val="24"/>
      <w:szCs w:val="24"/>
    </w:rPr>
  </w:style>
  <w:style w:type="paragraph" w:styleId="Footer">
    <w:name w:val="footer"/>
    <w:basedOn w:val="Normal"/>
    <w:link w:val="FooterChar"/>
    <w:rsid w:val="00357D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57D4D"/>
    <w:rPr>
      <w:sz w:val="24"/>
      <w:szCs w:val="24"/>
    </w:rPr>
  </w:style>
  <w:style w:type="character" w:styleId="Hyperlink">
    <w:name w:val="Hyperlink"/>
    <w:rsid w:val="00951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2075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2421</CharactersWithSpaces>
  <SharedDoc>false</SharedDoc>
  <HyperlinkBase>https://www.cabinet.qld.gov.au/documents/2013/Apr/Bldg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2013-03-27T04:30:00Z</cp:lastPrinted>
  <dcterms:created xsi:type="dcterms:W3CDTF">2017-10-25T00:48:00Z</dcterms:created>
  <dcterms:modified xsi:type="dcterms:W3CDTF">2018-03-06T01:16:00Z</dcterms:modified>
  <cp:category>Building,Planning,Legislation,Regulatory_Reform</cp:category>
</cp:coreProperties>
</file>